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A9CA" w14:textId="1AF4A908" w:rsidR="002A7D52" w:rsidRPr="00602100" w:rsidRDefault="002A7D52">
      <w:pPr>
        <w:rPr>
          <w:sz w:val="24"/>
          <w:szCs w:val="24"/>
        </w:rPr>
      </w:pPr>
      <w:r w:rsidRPr="00602100">
        <w:rPr>
          <w:sz w:val="24"/>
          <w:szCs w:val="24"/>
        </w:rPr>
        <w:t>Middlebury Institute of International Studies at Monterey (MIIS) and Lawrence Livermore National Laboratory (LLNL), in support of the U.S. Department of Energy</w:t>
      </w:r>
      <w:r w:rsidR="000805AC">
        <w:rPr>
          <w:sz w:val="24"/>
          <w:szCs w:val="24"/>
        </w:rPr>
        <w:t xml:space="preserve"> (DOE)</w:t>
      </w:r>
      <w:r w:rsidRPr="00602100">
        <w:rPr>
          <w:sz w:val="24"/>
          <w:szCs w:val="24"/>
        </w:rPr>
        <w:t xml:space="preserve"> National Nuclear Security Administration </w:t>
      </w:r>
      <w:r w:rsidR="000805AC">
        <w:rPr>
          <w:sz w:val="24"/>
          <w:szCs w:val="24"/>
        </w:rPr>
        <w:t>(NNSA)</w:t>
      </w:r>
      <w:r w:rsidRPr="00602100">
        <w:rPr>
          <w:sz w:val="24"/>
          <w:szCs w:val="24"/>
        </w:rPr>
        <w:t xml:space="preserve">, are pleased to announce </w:t>
      </w:r>
      <w:r w:rsidR="00305548">
        <w:rPr>
          <w:sz w:val="24"/>
          <w:szCs w:val="24"/>
        </w:rPr>
        <w:t>the</w:t>
      </w:r>
      <w:r w:rsidR="000805AC">
        <w:rPr>
          <w:sz w:val="24"/>
          <w:szCs w:val="24"/>
        </w:rPr>
        <w:t xml:space="preserve"> </w:t>
      </w:r>
      <w:r w:rsidR="000805AC">
        <w:rPr>
          <w:b/>
          <w:sz w:val="24"/>
          <w:szCs w:val="24"/>
        </w:rPr>
        <w:t>202</w:t>
      </w:r>
      <w:r w:rsidR="00992D1D">
        <w:rPr>
          <w:b/>
          <w:sz w:val="24"/>
          <w:szCs w:val="24"/>
        </w:rPr>
        <w:t>4</w:t>
      </w:r>
      <w:r w:rsidR="000805AC">
        <w:rPr>
          <w:b/>
          <w:sz w:val="24"/>
          <w:szCs w:val="24"/>
        </w:rPr>
        <w:t xml:space="preserve"> I</w:t>
      </w:r>
      <w:r w:rsidR="00D46217" w:rsidRPr="00602100">
        <w:rPr>
          <w:b/>
          <w:sz w:val="24"/>
          <w:szCs w:val="24"/>
        </w:rPr>
        <w:t>nternational Nuclear Safeguards Policy and Information Analysis</w:t>
      </w:r>
      <w:r w:rsidR="000805AC">
        <w:rPr>
          <w:b/>
          <w:sz w:val="24"/>
          <w:szCs w:val="24"/>
        </w:rPr>
        <w:t xml:space="preserve"> Course</w:t>
      </w:r>
      <w:r w:rsidR="00D46217" w:rsidRPr="00602100">
        <w:rPr>
          <w:sz w:val="24"/>
          <w:szCs w:val="24"/>
        </w:rPr>
        <w:t xml:space="preserve">, </w:t>
      </w:r>
      <w:r w:rsidRPr="00602100">
        <w:rPr>
          <w:sz w:val="24"/>
          <w:szCs w:val="24"/>
        </w:rPr>
        <w:t>a one-week, tuition-free, intensive course</w:t>
      </w:r>
      <w:r w:rsidR="00D46217" w:rsidRPr="00602100">
        <w:rPr>
          <w:sz w:val="24"/>
          <w:szCs w:val="24"/>
        </w:rPr>
        <w:t xml:space="preserve"> in Monterey</w:t>
      </w:r>
      <w:r w:rsidR="00CD3788">
        <w:rPr>
          <w:sz w:val="24"/>
          <w:szCs w:val="24"/>
        </w:rPr>
        <w:t>, California</w:t>
      </w:r>
      <w:r w:rsidR="000D69D6">
        <w:rPr>
          <w:sz w:val="24"/>
          <w:szCs w:val="24"/>
        </w:rPr>
        <w:t xml:space="preserve">, </w:t>
      </w:r>
      <w:r w:rsidRPr="00602100">
        <w:rPr>
          <w:sz w:val="24"/>
          <w:szCs w:val="24"/>
        </w:rPr>
        <w:t xml:space="preserve">and up to </w:t>
      </w:r>
      <w:r w:rsidR="00E653AA">
        <w:rPr>
          <w:sz w:val="24"/>
          <w:szCs w:val="24"/>
        </w:rPr>
        <w:t>f</w:t>
      </w:r>
      <w:r w:rsidR="00D43E19">
        <w:rPr>
          <w:sz w:val="24"/>
          <w:szCs w:val="24"/>
        </w:rPr>
        <w:t>our</w:t>
      </w:r>
      <w:r w:rsidRPr="00602100">
        <w:rPr>
          <w:sz w:val="24"/>
          <w:szCs w:val="24"/>
        </w:rPr>
        <w:t xml:space="preserve"> paid summer internships</w:t>
      </w:r>
      <w:r w:rsidR="000805AC">
        <w:rPr>
          <w:sz w:val="24"/>
          <w:szCs w:val="24"/>
        </w:rPr>
        <w:t xml:space="preserve"> at LLNL.</w:t>
      </w:r>
    </w:p>
    <w:p w14:paraId="03994B94" w14:textId="6E819C25" w:rsidR="00F46E86" w:rsidRPr="00602100" w:rsidRDefault="002A7D52">
      <w:pPr>
        <w:rPr>
          <w:sz w:val="24"/>
          <w:szCs w:val="24"/>
        </w:rPr>
      </w:pPr>
      <w:r w:rsidRPr="00602100">
        <w:rPr>
          <w:b/>
          <w:sz w:val="24"/>
          <w:szCs w:val="24"/>
        </w:rPr>
        <w:t>The course is tuition free and open to all nationalities.</w:t>
      </w:r>
      <w:r w:rsidRPr="00602100">
        <w:rPr>
          <w:sz w:val="24"/>
          <w:szCs w:val="24"/>
        </w:rPr>
        <w:t xml:space="preserve"> Some stipend</w:t>
      </w:r>
      <w:r w:rsidR="00E653AA">
        <w:rPr>
          <w:sz w:val="24"/>
          <w:szCs w:val="24"/>
        </w:rPr>
        <w:t xml:space="preserve"> aid </w:t>
      </w:r>
      <w:r w:rsidR="000805AC">
        <w:rPr>
          <w:sz w:val="24"/>
          <w:szCs w:val="24"/>
        </w:rPr>
        <w:t>may</w:t>
      </w:r>
      <w:r w:rsidRPr="00602100">
        <w:rPr>
          <w:sz w:val="24"/>
          <w:szCs w:val="24"/>
        </w:rPr>
        <w:t xml:space="preserve"> be available to </w:t>
      </w:r>
      <w:r w:rsidRPr="004C69A2">
        <w:rPr>
          <w:b/>
          <w:bCs/>
          <w:sz w:val="24"/>
          <w:szCs w:val="24"/>
          <w:u w:val="single"/>
        </w:rPr>
        <w:t xml:space="preserve">nonlocal </w:t>
      </w:r>
      <w:r w:rsidRPr="00602100">
        <w:rPr>
          <w:sz w:val="24"/>
          <w:szCs w:val="24"/>
        </w:rPr>
        <w:t>applicants to partially cover transportation and housing</w:t>
      </w:r>
      <w:r w:rsidR="00602100">
        <w:rPr>
          <w:sz w:val="24"/>
          <w:szCs w:val="24"/>
        </w:rPr>
        <w:t>.</w:t>
      </w:r>
      <w:r w:rsidRPr="00602100">
        <w:rPr>
          <w:sz w:val="24"/>
          <w:szCs w:val="24"/>
        </w:rPr>
        <w:t xml:space="preserve"> </w:t>
      </w:r>
    </w:p>
    <w:p w14:paraId="2AF53227" w14:textId="03BCCE1D" w:rsidR="00E95FAD" w:rsidRPr="00647F15" w:rsidRDefault="002A7D52">
      <w:pPr>
        <w:rPr>
          <w:color w:val="FF0000"/>
          <w:sz w:val="24"/>
          <w:szCs w:val="24"/>
        </w:rPr>
      </w:pPr>
      <w:r w:rsidRPr="00602100">
        <w:rPr>
          <w:sz w:val="24"/>
          <w:szCs w:val="24"/>
        </w:rPr>
        <w:t>Course applicants who are U.S. citizens may also apply for a ten-week paid internship at LLNL. The internships pay $</w:t>
      </w:r>
      <w:r w:rsidR="00F56F59">
        <w:rPr>
          <w:sz w:val="24"/>
          <w:szCs w:val="24"/>
        </w:rPr>
        <w:t>7</w:t>
      </w:r>
      <w:r w:rsidRPr="00602100">
        <w:rPr>
          <w:sz w:val="24"/>
          <w:szCs w:val="24"/>
        </w:rPr>
        <w:t xml:space="preserve">,000 </w:t>
      </w:r>
      <w:r w:rsidR="003E31D1" w:rsidRPr="00602100">
        <w:rPr>
          <w:sz w:val="24"/>
          <w:szCs w:val="24"/>
        </w:rPr>
        <w:t>total, which</w:t>
      </w:r>
      <w:r w:rsidRPr="00602100">
        <w:rPr>
          <w:sz w:val="24"/>
          <w:szCs w:val="24"/>
        </w:rPr>
        <w:t xml:space="preserve"> is paid in two installments of $3,</w:t>
      </w:r>
      <w:r w:rsidR="00F56F59">
        <w:rPr>
          <w:sz w:val="24"/>
          <w:szCs w:val="24"/>
        </w:rPr>
        <w:t>50</w:t>
      </w:r>
      <w:r w:rsidRPr="00602100">
        <w:rPr>
          <w:sz w:val="24"/>
          <w:szCs w:val="24"/>
        </w:rPr>
        <w:t xml:space="preserve">0. </w:t>
      </w:r>
      <w:r w:rsidR="00FC0575" w:rsidRPr="00602100">
        <w:rPr>
          <w:sz w:val="24"/>
          <w:szCs w:val="24"/>
        </w:rPr>
        <w:t xml:space="preserve">A selection panel will interview qualified applicants for internships. </w:t>
      </w:r>
      <w:r w:rsidRPr="00647F15">
        <w:rPr>
          <w:b/>
          <w:bCs/>
          <w:color w:val="FF0000"/>
          <w:sz w:val="24"/>
          <w:szCs w:val="24"/>
        </w:rPr>
        <w:t>Successful completion of the course is a prerequisite for the internships.</w:t>
      </w:r>
    </w:p>
    <w:p w14:paraId="1B91BD4A" w14:textId="479A64FD" w:rsidR="009C1FD5" w:rsidRPr="007548D8" w:rsidRDefault="009C1FD5" w:rsidP="0059570B">
      <w:pPr>
        <w:spacing w:before="36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Contact</w:t>
      </w:r>
      <w:r w:rsidRPr="007548D8">
        <w:rPr>
          <w:b/>
          <w:color w:val="002060"/>
          <w:sz w:val="32"/>
          <w:szCs w:val="32"/>
        </w:rPr>
        <w:t>:</w:t>
      </w:r>
    </w:p>
    <w:p w14:paraId="69CDCC9F" w14:textId="2862D1DE" w:rsidR="000805AC" w:rsidRDefault="009C1FD5" w:rsidP="000805AC">
      <w:pPr>
        <w:spacing w:after="0"/>
        <w:rPr>
          <w:b/>
        </w:rPr>
      </w:pPr>
      <w:r w:rsidRPr="007E5A73">
        <w:rPr>
          <w:b/>
        </w:rPr>
        <w:t>Dr. George Moore</w:t>
      </w:r>
      <w:r>
        <w:rPr>
          <w:b/>
        </w:rPr>
        <w:br/>
      </w:r>
      <w:hyperlink r:id="rId7" w:history="1">
        <w:r w:rsidR="001543B2" w:rsidRPr="00122BEB">
          <w:rPr>
            <w:rStyle w:val="Hyperlink"/>
          </w:rPr>
          <w:t>gmoore@middlebury.edu</w:t>
        </w:r>
      </w:hyperlink>
      <w:r>
        <w:rPr>
          <w:b/>
        </w:rPr>
        <w:t xml:space="preserve"> </w:t>
      </w:r>
      <w:r w:rsidRPr="007E5A73">
        <w:rPr>
          <w:b/>
        </w:rPr>
        <w:t>·</w:t>
      </w:r>
    </w:p>
    <w:p w14:paraId="41177F6C" w14:textId="4AE6183F" w:rsidR="009C1FD5" w:rsidRDefault="009C1FD5" w:rsidP="000805AC">
      <w:pPr>
        <w:spacing w:after="0"/>
      </w:pPr>
      <w:r>
        <w:rPr>
          <w:b/>
        </w:rPr>
        <w:t xml:space="preserve"> </w:t>
      </w:r>
      <w:r>
        <w:t>(831) 647-</w:t>
      </w:r>
      <w:r w:rsidR="00015D90">
        <w:t>4613</w:t>
      </w:r>
    </w:p>
    <w:p w14:paraId="4167DC7D" w14:textId="2C5ACF6C" w:rsidR="000805AC" w:rsidRDefault="009C1FD5" w:rsidP="000805AC">
      <w:pPr>
        <w:spacing w:after="0"/>
      </w:pPr>
      <w:r>
        <w:t>James Martin Center for Nonproliferation Studies</w:t>
      </w:r>
    </w:p>
    <w:p w14:paraId="285BD8AF" w14:textId="2AD218E1" w:rsidR="00E653AA" w:rsidRDefault="00E653AA" w:rsidP="000805AC">
      <w:pPr>
        <w:spacing w:after="0"/>
      </w:pPr>
    </w:p>
    <w:p w14:paraId="6BE3311C" w14:textId="31F7F6A7" w:rsidR="00E653AA" w:rsidRDefault="00E653AA" w:rsidP="000805AC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C045454" wp14:editId="3EAECCA4">
            <wp:simplePos x="0" y="0"/>
            <wp:positionH relativeFrom="margin">
              <wp:posOffset>447675</wp:posOffset>
            </wp:positionH>
            <wp:positionV relativeFrom="paragraph">
              <wp:posOffset>441960</wp:posOffset>
            </wp:positionV>
            <wp:extent cx="1828800" cy="361950"/>
            <wp:effectExtent l="0" t="0" r="0" b="0"/>
            <wp:wrapNone/>
            <wp:docPr id="8" name="Picture 8" descr="C:\Users\dsteiger\AppData\Local\Microsoft\Windows\INetCache\Content.Word\middlebury_cn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teiger\AppData\Local\Microsoft\Windows\INetCache\Content.Word\middlebury_cns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D8CE0" w14:textId="77777777" w:rsidR="000D69D6" w:rsidRDefault="000D69D6" w:rsidP="000805AC">
      <w:pPr>
        <w:spacing w:after="0"/>
        <w:rPr>
          <w:rStyle w:val="Hyperlink"/>
        </w:rPr>
      </w:pPr>
    </w:p>
    <w:p w14:paraId="7955A480" w14:textId="03D232EA" w:rsidR="004622D7" w:rsidRPr="009C1D6B" w:rsidRDefault="004622D7" w:rsidP="009C1D6B">
      <w:r w:rsidRPr="00613063">
        <w:rPr>
          <w:b/>
          <w:color w:val="002060"/>
          <w:sz w:val="32"/>
          <w:szCs w:val="32"/>
        </w:rPr>
        <w:t>Course topics include:</w:t>
      </w:r>
    </w:p>
    <w:p w14:paraId="6594CD0A" w14:textId="77777777" w:rsidR="007548D8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The role of the IAEA and international safeguards in the nuclear nonproliferation regime</w:t>
      </w:r>
    </w:p>
    <w:p w14:paraId="188AF34B" w14:textId="77777777" w:rsidR="007548D8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Concepts, objectives, evolution and history of international nuclear safeguards</w:t>
      </w:r>
    </w:p>
    <w:p w14:paraId="25A444FC" w14:textId="77777777" w:rsidR="004622D7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State-level safeguards analysis</w:t>
      </w:r>
    </w:p>
    <w:p w14:paraId="29F74EFD" w14:textId="0B159E49" w:rsidR="004622D7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Case-study analyses of safeguards challenges</w:t>
      </w:r>
    </w:p>
    <w:p w14:paraId="0F9E18C7" w14:textId="41E6B6CD" w:rsidR="004622D7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Introduction to safeguards inspection</w:t>
      </w:r>
      <w:r w:rsidR="007D6595">
        <w:rPr>
          <w:color w:val="002060"/>
          <w:sz w:val="24"/>
          <w:szCs w:val="24"/>
        </w:rPr>
        <w:t>s</w:t>
      </w:r>
      <w:r w:rsidRPr="006B6D28">
        <w:rPr>
          <w:color w:val="002060"/>
          <w:sz w:val="24"/>
          <w:szCs w:val="24"/>
        </w:rPr>
        <w:t xml:space="preserve">, material accounting, </w:t>
      </w:r>
      <w:proofErr w:type="gramStart"/>
      <w:r w:rsidRPr="006B6D28">
        <w:rPr>
          <w:color w:val="002060"/>
          <w:sz w:val="24"/>
          <w:szCs w:val="24"/>
        </w:rPr>
        <w:t>containment</w:t>
      </w:r>
      <w:proofErr w:type="gramEnd"/>
      <w:r w:rsidRPr="006B6D28">
        <w:rPr>
          <w:color w:val="002060"/>
          <w:sz w:val="24"/>
          <w:szCs w:val="24"/>
        </w:rPr>
        <w:t xml:space="preserve"> and surveillance</w:t>
      </w:r>
    </w:p>
    <w:p w14:paraId="3F294E1A" w14:textId="77777777" w:rsidR="004622D7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Open-source information collection and analysis</w:t>
      </w:r>
    </w:p>
    <w:p w14:paraId="2EA6240C" w14:textId="77777777" w:rsidR="004622D7" w:rsidRPr="006B6D28" w:rsidRDefault="004622D7" w:rsidP="00007A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Effectiveness and limitations of safeguards</w:t>
      </w:r>
    </w:p>
    <w:p w14:paraId="36C1A9B7" w14:textId="77777777" w:rsidR="0059570B" w:rsidRPr="0059570B" w:rsidRDefault="004622D7" w:rsidP="005957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color w:val="002060"/>
          <w:sz w:val="24"/>
          <w:szCs w:val="24"/>
        </w:rPr>
      </w:pPr>
      <w:r w:rsidRPr="006B6D28">
        <w:rPr>
          <w:color w:val="002060"/>
          <w:sz w:val="24"/>
          <w:szCs w:val="24"/>
        </w:rPr>
        <w:t>Future development of safeguards</w:t>
      </w:r>
    </w:p>
    <w:p w14:paraId="3E98A4A7" w14:textId="77777777" w:rsidR="00E95FAD" w:rsidRPr="0059570B" w:rsidRDefault="0085401C" w:rsidP="0059570B">
      <w:pPr>
        <w:spacing w:before="360"/>
        <w:rPr>
          <w:color w:val="002060"/>
          <w:sz w:val="24"/>
          <w:szCs w:val="24"/>
        </w:rPr>
      </w:pPr>
      <w:r w:rsidRPr="0059570B">
        <w:rPr>
          <w:b/>
          <w:color w:val="002060"/>
          <w:sz w:val="32"/>
          <w:szCs w:val="32"/>
        </w:rPr>
        <w:t>Dates to Remember:</w:t>
      </w:r>
    </w:p>
    <w:p w14:paraId="00F165FA" w14:textId="77777777" w:rsidR="00D37166" w:rsidRPr="00F5401D" w:rsidRDefault="00100637" w:rsidP="00D37166">
      <w:pPr>
        <w:spacing w:after="0" w:line="240" w:lineRule="auto"/>
        <w:contextualSpacing/>
        <w:rPr>
          <w:color w:val="C00000"/>
          <w:sz w:val="24"/>
          <w:szCs w:val="24"/>
        </w:rPr>
      </w:pPr>
      <w:r w:rsidRPr="00F5401D">
        <w:rPr>
          <w:b/>
          <w:color w:val="C00000"/>
          <w:sz w:val="24"/>
          <w:szCs w:val="24"/>
        </w:rPr>
        <w:t>Application Deadline:</w:t>
      </w:r>
      <w:r w:rsidR="00E840AC" w:rsidRPr="00F5401D">
        <w:rPr>
          <w:b/>
          <w:color w:val="C00000"/>
          <w:sz w:val="24"/>
          <w:szCs w:val="24"/>
        </w:rPr>
        <w:tab/>
      </w:r>
      <w:r w:rsidR="00E840AC" w:rsidRPr="00F5401D">
        <w:rPr>
          <w:b/>
          <w:color w:val="C00000"/>
          <w:sz w:val="24"/>
          <w:szCs w:val="24"/>
        </w:rPr>
        <w:tab/>
      </w:r>
      <w:r w:rsidR="00E840AC" w:rsidRPr="00F5401D">
        <w:rPr>
          <w:b/>
          <w:color w:val="C00000"/>
          <w:sz w:val="24"/>
          <w:szCs w:val="24"/>
        </w:rPr>
        <w:tab/>
      </w:r>
    </w:p>
    <w:p w14:paraId="47E1C9FD" w14:textId="2A4E3622" w:rsidR="00D37166" w:rsidRPr="00D37166" w:rsidRDefault="00613063" w:rsidP="00015D90">
      <w:pPr>
        <w:spacing w:after="0"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837893">
        <w:rPr>
          <w:b/>
          <w:color w:val="C00000"/>
          <w:sz w:val="28"/>
          <w:szCs w:val="28"/>
        </w:rPr>
        <w:t xml:space="preserve">Friday, March </w:t>
      </w:r>
      <w:r w:rsidR="00647F15">
        <w:rPr>
          <w:b/>
          <w:color w:val="C00000"/>
          <w:sz w:val="28"/>
          <w:szCs w:val="28"/>
        </w:rPr>
        <w:t>15</w:t>
      </w:r>
      <w:r w:rsidRPr="00837893">
        <w:rPr>
          <w:b/>
          <w:color w:val="C00000"/>
          <w:sz w:val="28"/>
          <w:szCs w:val="28"/>
        </w:rPr>
        <w:t>, 20</w:t>
      </w:r>
      <w:r w:rsidR="006E35C3">
        <w:rPr>
          <w:b/>
          <w:color w:val="C00000"/>
          <w:sz w:val="28"/>
          <w:szCs w:val="28"/>
        </w:rPr>
        <w:t>2</w:t>
      </w:r>
      <w:r w:rsidR="00F56F59">
        <w:rPr>
          <w:b/>
          <w:color w:val="C00000"/>
          <w:sz w:val="28"/>
          <w:szCs w:val="28"/>
        </w:rPr>
        <w:t>4</w:t>
      </w:r>
    </w:p>
    <w:p w14:paraId="1D3B5645" w14:textId="77777777" w:rsidR="00D37166" w:rsidRPr="00F5401D" w:rsidRDefault="0085401C" w:rsidP="00D37166">
      <w:pPr>
        <w:spacing w:after="0" w:line="240" w:lineRule="auto"/>
        <w:contextualSpacing/>
        <w:rPr>
          <w:color w:val="002060"/>
          <w:sz w:val="24"/>
          <w:szCs w:val="24"/>
        </w:rPr>
      </w:pPr>
      <w:r w:rsidRPr="00F5401D">
        <w:rPr>
          <w:b/>
          <w:color w:val="002060"/>
          <w:sz w:val="24"/>
          <w:szCs w:val="24"/>
        </w:rPr>
        <w:t>Course Duration:</w:t>
      </w:r>
      <w:r w:rsidR="00100637" w:rsidRPr="00F5401D">
        <w:rPr>
          <w:color w:val="002060"/>
          <w:sz w:val="24"/>
          <w:szCs w:val="24"/>
        </w:rPr>
        <w:t xml:space="preserve"> </w:t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</w:p>
    <w:p w14:paraId="08695176" w14:textId="4C409259" w:rsidR="00613063" w:rsidRPr="005F25F2" w:rsidRDefault="00015D90" w:rsidP="00015D90">
      <w:pPr>
        <w:spacing w:after="0" w:line="240" w:lineRule="auto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</w:t>
      </w:r>
      <w:r w:rsidR="00613063" w:rsidRPr="005F25F2">
        <w:rPr>
          <w:b/>
          <w:color w:val="002060"/>
          <w:sz w:val="28"/>
          <w:szCs w:val="28"/>
        </w:rPr>
        <w:t xml:space="preserve">June </w:t>
      </w:r>
      <w:r w:rsidR="00F56F59">
        <w:rPr>
          <w:b/>
          <w:color w:val="002060"/>
          <w:sz w:val="28"/>
          <w:szCs w:val="28"/>
        </w:rPr>
        <w:t>3</w:t>
      </w:r>
      <w:r w:rsidR="00613063" w:rsidRPr="005F25F2">
        <w:rPr>
          <w:b/>
          <w:color w:val="002060"/>
          <w:sz w:val="28"/>
          <w:szCs w:val="28"/>
        </w:rPr>
        <w:t>-</w:t>
      </w:r>
      <w:r w:rsidR="00F56F59">
        <w:rPr>
          <w:b/>
          <w:color w:val="002060"/>
          <w:sz w:val="28"/>
          <w:szCs w:val="28"/>
        </w:rPr>
        <w:t>7</w:t>
      </w:r>
      <w:r w:rsidR="00613063" w:rsidRPr="005F25F2">
        <w:rPr>
          <w:b/>
          <w:color w:val="002060"/>
          <w:sz w:val="28"/>
          <w:szCs w:val="28"/>
        </w:rPr>
        <w:t>, 20</w:t>
      </w:r>
      <w:r w:rsidR="006E35C3">
        <w:rPr>
          <w:b/>
          <w:color w:val="002060"/>
          <w:sz w:val="28"/>
          <w:szCs w:val="28"/>
        </w:rPr>
        <w:t>2</w:t>
      </w:r>
      <w:r w:rsidR="00F56F59">
        <w:rPr>
          <w:b/>
          <w:color w:val="002060"/>
          <w:sz w:val="28"/>
          <w:szCs w:val="28"/>
        </w:rPr>
        <w:t>4</w:t>
      </w:r>
    </w:p>
    <w:p w14:paraId="447D5A00" w14:textId="77777777" w:rsidR="00D37166" w:rsidRPr="00F5401D" w:rsidRDefault="005F25F2" w:rsidP="00D37166">
      <w:pPr>
        <w:spacing w:after="0" w:line="240" w:lineRule="auto"/>
        <w:contextualSpacing/>
        <w:rPr>
          <w:color w:val="002060"/>
          <w:sz w:val="24"/>
          <w:szCs w:val="24"/>
        </w:rPr>
      </w:pPr>
      <w:r w:rsidRPr="00F5401D">
        <w:rPr>
          <w:b/>
          <w:color w:val="002060"/>
          <w:sz w:val="24"/>
          <w:szCs w:val="24"/>
        </w:rPr>
        <w:t>Ten-week I</w:t>
      </w:r>
      <w:r w:rsidR="00613063" w:rsidRPr="00F5401D">
        <w:rPr>
          <w:b/>
          <w:color w:val="002060"/>
          <w:sz w:val="24"/>
          <w:szCs w:val="24"/>
        </w:rPr>
        <w:t>nternships</w:t>
      </w:r>
      <w:r w:rsidRPr="00F5401D">
        <w:rPr>
          <w:b/>
          <w:color w:val="002060"/>
          <w:sz w:val="24"/>
          <w:szCs w:val="24"/>
        </w:rPr>
        <w:t xml:space="preserve"> </w:t>
      </w:r>
      <w:r w:rsidRPr="00F5401D">
        <w:rPr>
          <w:color w:val="002060"/>
          <w:sz w:val="24"/>
          <w:szCs w:val="24"/>
        </w:rPr>
        <w:t>s</w:t>
      </w:r>
      <w:r w:rsidR="00613063" w:rsidRPr="00F5401D">
        <w:rPr>
          <w:color w:val="002060"/>
          <w:sz w:val="24"/>
          <w:szCs w:val="24"/>
        </w:rPr>
        <w:t>cheduled during</w:t>
      </w:r>
      <w:r w:rsidRPr="00F5401D">
        <w:rPr>
          <w:color w:val="002060"/>
          <w:sz w:val="24"/>
          <w:szCs w:val="24"/>
        </w:rPr>
        <w:t xml:space="preserve"> the period</w:t>
      </w:r>
      <w:r w:rsidR="00100637" w:rsidRPr="00F5401D">
        <w:rPr>
          <w:color w:val="002060"/>
          <w:sz w:val="24"/>
          <w:szCs w:val="24"/>
        </w:rPr>
        <w:t xml:space="preserve">: </w:t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</w:p>
    <w:p w14:paraId="17F28672" w14:textId="4D3E27CB" w:rsidR="00FA7B63" w:rsidRDefault="00345811" w:rsidP="00345811">
      <w:pPr>
        <w:spacing w:after="0" w:line="240" w:lineRule="auto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</w:t>
      </w:r>
      <w:r w:rsidR="005F25F2" w:rsidRPr="005F25F2">
        <w:rPr>
          <w:b/>
          <w:color w:val="002060"/>
          <w:sz w:val="28"/>
          <w:szCs w:val="28"/>
        </w:rPr>
        <w:t xml:space="preserve">June </w:t>
      </w:r>
      <w:r w:rsidR="002B2BEE">
        <w:rPr>
          <w:b/>
          <w:color w:val="002060"/>
          <w:sz w:val="28"/>
          <w:szCs w:val="28"/>
        </w:rPr>
        <w:t>1</w:t>
      </w:r>
      <w:r w:rsidR="00F56F59">
        <w:rPr>
          <w:b/>
          <w:color w:val="002060"/>
          <w:sz w:val="28"/>
          <w:szCs w:val="28"/>
        </w:rPr>
        <w:t>0</w:t>
      </w:r>
      <w:r w:rsidR="005F25F2" w:rsidRPr="005F25F2">
        <w:rPr>
          <w:b/>
          <w:color w:val="002060"/>
          <w:sz w:val="28"/>
          <w:szCs w:val="28"/>
        </w:rPr>
        <w:t>-</w:t>
      </w:r>
      <w:r w:rsidR="0085401C" w:rsidRPr="005F25F2">
        <w:rPr>
          <w:b/>
          <w:color w:val="002060"/>
          <w:sz w:val="28"/>
          <w:szCs w:val="28"/>
        </w:rPr>
        <w:t xml:space="preserve">August </w:t>
      </w:r>
      <w:r w:rsidR="00015D90">
        <w:rPr>
          <w:b/>
          <w:color w:val="002060"/>
          <w:sz w:val="28"/>
          <w:szCs w:val="28"/>
        </w:rPr>
        <w:t>1</w:t>
      </w:r>
      <w:r w:rsidR="00455036">
        <w:rPr>
          <w:b/>
          <w:color w:val="002060"/>
          <w:sz w:val="28"/>
          <w:szCs w:val="28"/>
        </w:rPr>
        <w:t>6</w:t>
      </w:r>
      <w:r w:rsidR="0085401C" w:rsidRPr="005F25F2">
        <w:rPr>
          <w:b/>
          <w:color w:val="002060"/>
          <w:sz w:val="28"/>
          <w:szCs w:val="28"/>
        </w:rPr>
        <w:t>, 20</w:t>
      </w:r>
      <w:r w:rsidR="006E35C3">
        <w:rPr>
          <w:b/>
          <w:color w:val="002060"/>
          <w:sz w:val="28"/>
          <w:szCs w:val="28"/>
        </w:rPr>
        <w:t>2</w:t>
      </w:r>
      <w:r w:rsidR="00F56F59">
        <w:rPr>
          <w:b/>
          <w:color w:val="002060"/>
          <w:sz w:val="28"/>
          <w:szCs w:val="28"/>
        </w:rPr>
        <w:t>4</w:t>
      </w:r>
    </w:p>
    <w:p w14:paraId="391D4B8E" w14:textId="4AFCB9B1" w:rsidR="00D37166" w:rsidRPr="00F5401D" w:rsidRDefault="00FA7B63" w:rsidP="00D37166">
      <w:pPr>
        <w:spacing w:after="0" w:line="240" w:lineRule="auto"/>
        <w:contextualSpacing/>
        <w:rPr>
          <w:color w:val="002060"/>
          <w:sz w:val="24"/>
          <w:szCs w:val="24"/>
        </w:rPr>
      </w:pPr>
      <w:r w:rsidRPr="00F5401D">
        <w:rPr>
          <w:b/>
          <w:color w:val="002060"/>
          <w:sz w:val="24"/>
          <w:szCs w:val="24"/>
        </w:rPr>
        <w:t xml:space="preserve">Finalized selections </w:t>
      </w:r>
      <w:r w:rsidRPr="00F5401D">
        <w:rPr>
          <w:color w:val="002060"/>
          <w:sz w:val="24"/>
          <w:szCs w:val="24"/>
        </w:rPr>
        <w:t>for course</w:t>
      </w:r>
      <w:r w:rsidR="00DF0EE7">
        <w:rPr>
          <w:color w:val="002060"/>
          <w:sz w:val="24"/>
          <w:szCs w:val="24"/>
        </w:rPr>
        <w:t xml:space="preserve"> and </w:t>
      </w:r>
      <w:r w:rsidRPr="00F5401D">
        <w:rPr>
          <w:color w:val="002060"/>
          <w:sz w:val="24"/>
          <w:szCs w:val="24"/>
        </w:rPr>
        <w:t>internships:</w:t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  <w:r w:rsidR="00E840AC" w:rsidRPr="00F5401D">
        <w:rPr>
          <w:color w:val="002060"/>
          <w:sz w:val="24"/>
          <w:szCs w:val="24"/>
        </w:rPr>
        <w:tab/>
      </w:r>
    </w:p>
    <w:p w14:paraId="33E86034" w14:textId="146ADCD6" w:rsidR="00FA7B63" w:rsidRDefault="00015D90" w:rsidP="00015D90">
      <w:pPr>
        <w:spacing w:after="0" w:line="240" w:lineRule="auto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FA7B63">
        <w:rPr>
          <w:b/>
          <w:color w:val="002060"/>
          <w:sz w:val="28"/>
          <w:szCs w:val="28"/>
        </w:rPr>
        <w:t>Early April 20</w:t>
      </w:r>
      <w:r w:rsidR="006E35C3">
        <w:rPr>
          <w:b/>
          <w:color w:val="002060"/>
          <w:sz w:val="28"/>
          <w:szCs w:val="28"/>
        </w:rPr>
        <w:t>2</w:t>
      </w:r>
      <w:r w:rsidR="00F56F59">
        <w:rPr>
          <w:b/>
          <w:color w:val="002060"/>
          <w:sz w:val="28"/>
          <w:szCs w:val="28"/>
        </w:rPr>
        <w:t>4</w:t>
      </w:r>
    </w:p>
    <w:p w14:paraId="74BF67A8" w14:textId="344CF1A7" w:rsidR="00D735CA" w:rsidRDefault="00D735CA" w:rsidP="00FE6884">
      <w:pPr>
        <w:rPr>
          <w:b/>
          <w:color w:val="002060"/>
          <w:sz w:val="32"/>
          <w:szCs w:val="32"/>
        </w:rPr>
      </w:pPr>
    </w:p>
    <w:p w14:paraId="06DF5130" w14:textId="77777777" w:rsidR="004C69A2" w:rsidRDefault="004C69A2" w:rsidP="00FE6884">
      <w:pPr>
        <w:rPr>
          <w:b/>
          <w:color w:val="002060"/>
          <w:sz w:val="32"/>
          <w:szCs w:val="32"/>
        </w:rPr>
      </w:pPr>
    </w:p>
    <w:p w14:paraId="6DF87DC8" w14:textId="7BCC0A69" w:rsidR="0085401C" w:rsidRDefault="0085401C" w:rsidP="00721F93">
      <w:pPr>
        <w:spacing w:line="240" w:lineRule="auto"/>
        <w:rPr>
          <w:color w:val="7F0000"/>
        </w:rPr>
      </w:pPr>
      <w:r>
        <w:rPr>
          <w:b/>
          <w:color w:val="002060"/>
          <w:sz w:val="32"/>
          <w:szCs w:val="32"/>
        </w:rPr>
        <w:t>Eligibility:</w:t>
      </w:r>
    </w:p>
    <w:p w14:paraId="76D6CCF4" w14:textId="3572FA0E" w:rsidR="00DF0EE7" w:rsidRPr="006B6D28" w:rsidRDefault="00DF0EE7" w:rsidP="0085401C">
      <w:pPr>
        <w:rPr>
          <w:sz w:val="24"/>
          <w:szCs w:val="24"/>
        </w:rPr>
      </w:pPr>
      <w:r>
        <w:rPr>
          <w:sz w:val="24"/>
          <w:szCs w:val="24"/>
        </w:rPr>
        <w:t xml:space="preserve">The course is open to all nationalities. </w:t>
      </w:r>
      <w:r w:rsidR="00FE6884" w:rsidRPr="006B6D28">
        <w:rPr>
          <w:sz w:val="24"/>
          <w:szCs w:val="24"/>
        </w:rPr>
        <w:t xml:space="preserve">Applicants must be </w:t>
      </w:r>
      <w:r w:rsidR="000805AC">
        <w:rPr>
          <w:sz w:val="24"/>
          <w:szCs w:val="24"/>
        </w:rPr>
        <w:t xml:space="preserve">either </w:t>
      </w:r>
      <w:r w:rsidR="00FE6884" w:rsidRPr="006B6D28">
        <w:rPr>
          <w:sz w:val="24"/>
          <w:szCs w:val="24"/>
        </w:rPr>
        <w:t>currently enrolled graduate student</w:t>
      </w:r>
      <w:r w:rsidR="000805AC">
        <w:rPr>
          <w:sz w:val="24"/>
          <w:szCs w:val="24"/>
        </w:rPr>
        <w:t>s</w:t>
      </w:r>
      <w:r w:rsidR="00FE6884" w:rsidRPr="006B6D28">
        <w:rPr>
          <w:sz w:val="24"/>
          <w:szCs w:val="24"/>
        </w:rPr>
        <w:t xml:space="preserve"> </w:t>
      </w:r>
      <w:r w:rsidR="00DA75DA" w:rsidRPr="006B6D28">
        <w:rPr>
          <w:sz w:val="24"/>
          <w:szCs w:val="24"/>
        </w:rPr>
        <w:t>or young</w:t>
      </w:r>
      <w:r w:rsidR="00FE6884" w:rsidRPr="006B6D28">
        <w:rPr>
          <w:sz w:val="24"/>
          <w:szCs w:val="24"/>
        </w:rPr>
        <w:t xml:space="preserve"> professiona</w:t>
      </w:r>
      <w:r w:rsidR="000805AC">
        <w:rPr>
          <w:sz w:val="24"/>
          <w:szCs w:val="24"/>
        </w:rPr>
        <w:t xml:space="preserve">ls interested </w:t>
      </w:r>
      <w:r w:rsidR="00FE6884" w:rsidRPr="006B6D28">
        <w:rPr>
          <w:sz w:val="24"/>
          <w:szCs w:val="24"/>
        </w:rPr>
        <w:t>in</w:t>
      </w:r>
      <w:r w:rsidR="000805AC">
        <w:rPr>
          <w:sz w:val="24"/>
          <w:szCs w:val="24"/>
        </w:rPr>
        <w:t xml:space="preserve"> </w:t>
      </w:r>
      <w:r>
        <w:rPr>
          <w:sz w:val="24"/>
          <w:szCs w:val="24"/>
        </w:rPr>
        <w:t>safeguards and n</w:t>
      </w:r>
      <w:r w:rsidR="00FE6884" w:rsidRPr="006B6D28">
        <w:rPr>
          <w:sz w:val="24"/>
          <w:szCs w:val="24"/>
        </w:rPr>
        <w:t>onproliferation</w:t>
      </w:r>
      <w:r>
        <w:rPr>
          <w:sz w:val="24"/>
          <w:szCs w:val="24"/>
        </w:rPr>
        <w:t>. A</w:t>
      </w:r>
      <w:r w:rsidRPr="006B6D28">
        <w:rPr>
          <w:sz w:val="24"/>
          <w:szCs w:val="24"/>
        </w:rPr>
        <w:t xml:space="preserve">pplicants </w:t>
      </w:r>
      <w:r>
        <w:rPr>
          <w:sz w:val="24"/>
          <w:szCs w:val="24"/>
        </w:rPr>
        <w:t>for LLNL internships, however, must</w:t>
      </w:r>
      <w:r w:rsidRPr="006B6D28">
        <w:rPr>
          <w:sz w:val="24"/>
          <w:szCs w:val="24"/>
        </w:rPr>
        <w:t xml:space="preserve"> be U.S. citizens</w:t>
      </w:r>
    </w:p>
    <w:p w14:paraId="5AF61588" w14:textId="2F11C436" w:rsidR="001543B2" w:rsidRDefault="00FE6884" w:rsidP="001543B2">
      <w:pPr>
        <w:rPr>
          <w:sz w:val="24"/>
          <w:szCs w:val="24"/>
        </w:rPr>
      </w:pPr>
      <w:r w:rsidRPr="006B6D28">
        <w:rPr>
          <w:sz w:val="24"/>
          <w:szCs w:val="24"/>
        </w:rPr>
        <w:t xml:space="preserve">We are interested in applicants who demonstrate </w:t>
      </w:r>
      <w:r w:rsidR="000805AC">
        <w:rPr>
          <w:sz w:val="24"/>
          <w:szCs w:val="24"/>
        </w:rPr>
        <w:t>that</w:t>
      </w:r>
      <w:r w:rsidRPr="006B6D28">
        <w:rPr>
          <w:sz w:val="24"/>
          <w:szCs w:val="24"/>
        </w:rPr>
        <w:t xml:space="preserve"> a deeper understanding of international safeguards policy will aid their professional pursuits. </w:t>
      </w:r>
    </w:p>
    <w:p w14:paraId="218E28A0" w14:textId="7DEF289D" w:rsidR="001543B2" w:rsidRPr="001543B2" w:rsidRDefault="0085401C" w:rsidP="001543B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Applications:</w:t>
      </w:r>
    </w:p>
    <w:p w14:paraId="3A2A82E8" w14:textId="55E0F585" w:rsidR="00C2255C" w:rsidRPr="00C2255C" w:rsidRDefault="00891A67" w:rsidP="00891A67">
      <w:pPr>
        <w:rPr>
          <w:sz w:val="24"/>
          <w:szCs w:val="24"/>
        </w:rPr>
      </w:pPr>
      <w:r w:rsidRPr="006B6D28">
        <w:rPr>
          <w:sz w:val="24"/>
          <w:szCs w:val="24"/>
        </w:rPr>
        <w:t>Applica</w:t>
      </w:r>
      <w:r w:rsidR="001543B2">
        <w:rPr>
          <w:sz w:val="24"/>
          <w:szCs w:val="24"/>
        </w:rPr>
        <w:t xml:space="preserve">nts </w:t>
      </w:r>
      <w:r w:rsidRPr="006B6D28">
        <w:rPr>
          <w:sz w:val="24"/>
          <w:szCs w:val="24"/>
        </w:rPr>
        <w:t xml:space="preserve">must </w:t>
      </w:r>
      <w:r w:rsidR="001543B2">
        <w:rPr>
          <w:sz w:val="24"/>
          <w:szCs w:val="24"/>
        </w:rPr>
        <w:t>complete the DOE online portal application at</w:t>
      </w:r>
      <w:r w:rsidR="00AC054A">
        <w:rPr>
          <w:sz w:val="24"/>
          <w:szCs w:val="24"/>
        </w:rPr>
        <w:t>:</w:t>
      </w:r>
      <w:r w:rsidR="00C2255C">
        <w:br/>
      </w:r>
      <w:hyperlink r:id="rId9" w:history="1">
        <w:r w:rsidR="00000836" w:rsidRPr="00C22BA2">
          <w:rPr>
            <w:rStyle w:val="Hyperlink"/>
            <w:rFonts w:ascii="Calibri" w:hAnsi="Calibri" w:cs="Calibri"/>
            <w:shd w:val="clear" w:color="auto" w:fill="FFFFFF"/>
          </w:rPr>
          <w:t>https://forms.office.com/Pages/ResponsePage.aspx?id=Q70920tMREWfigVT-fXyXtx8BmOCHeFLhNrIv_qRHxlUQVoyN0NBOFREMUJZSFA5WjZZWkpaUEhBMi4u</w:t>
        </w:r>
      </w:hyperlink>
      <w:r w:rsidR="00000836">
        <w:rPr>
          <w:rFonts w:ascii="Calibri" w:hAnsi="Calibri" w:cs="Calibri"/>
          <w:color w:val="0000FF"/>
          <w:u w:val="single"/>
          <w:shd w:val="clear" w:color="auto" w:fill="FFFFFF"/>
        </w:rPr>
        <w:t xml:space="preserve"> </w:t>
      </w:r>
    </w:p>
    <w:p w14:paraId="1AE71B69" w14:textId="2CE01652" w:rsidR="00602100" w:rsidRPr="006B6D28" w:rsidRDefault="001543B2" w:rsidP="00891A67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Pr="009D6C4E">
        <w:rPr>
          <w:b/>
          <w:bCs/>
          <w:color w:val="FF0000"/>
          <w:sz w:val="24"/>
          <w:szCs w:val="24"/>
        </w:rPr>
        <w:t>must also submit</w:t>
      </w:r>
      <w:r w:rsidR="00891A67" w:rsidRPr="006B6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hyperlink r:id="rId10" w:history="1">
        <w:r w:rsidRPr="00122BEB">
          <w:rPr>
            <w:rStyle w:val="Hyperlink"/>
            <w:sz w:val="24"/>
            <w:szCs w:val="24"/>
          </w:rPr>
          <w:t>gmoore@middlebury.edu</w:t>
        </w:r>
      </w:hyperlink>
      <w:r>
        <w:rPr>
          <w:sz w:val="24"/>
          <w:szCs w:val="24"/>
        </w:rPr>
        <w:t xml:space="preserve"> </w:t>
      </w:r>
    </w:p>
    <w:p w14:paraId="2F135CF8" w14:textId="1138936F" w:rsidR="00602100" w:rsidRPr="00F56F59" w:rsidRDefault="00602100" w:rsidP="0060210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6F59">
        <w:rPr>
          <w:sz w:val="20"/>
          <w:szCs w:val="20"/>
        </w:rPr>
        <w:t>academic transcript</w:t>
      </w:r>
      <w:r w:rsidR="00305548" w:rsidRPr="00F56F59">
        <w:rPr>
          <w:sz w:val="20"/>
          <w:szCs w:val="20"/>
        </w:rPr>
        <w:t>(s)</w:t>
      </w:r>
    </w:p>
    <w:p w14:paraId="14E2570F" w14:textId="2CE86A08" w:rsidR="00602100" w:rsidRPr="00F56F59" w:rsidRDefault="00602100" w:rsidP="0060210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6F59">
        <w:rPr>
          <w:sz w:val="20"/>
          <w:szCs w:val="20"/>
        </w:rPr>
        <w:t>recommendation</w:t>
      </w:r>
      <w:r w:rsidR="00305548" w:rsidRPr="00F56F59">
        <w:rPr>
          <w:sz w:val="20"/>
          <w:szCs w:val="20"/>
        </w:rPr>
        <w:t xml:space="preserve"> letter</w:t>
      </w:r>
    </w:p>
    <w:p w14:paraId="4A32A06F" w14:textId="77777777" w:rsidR="00602100" w:rsidRPr="00F56F59" w:rsidRDefault="00891A67" w:rsidP="006232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6F59">
        <w:rPr>
          <w:sz w:val="20"/>
          <w:szCs w:val="20"/>
        </w:rPr>
        <w:t>a</w:t>
      </w:r>
      <w:r w:rsidR="00602100" w:rsidRPr="00F56F59">
        <w:rPr>
          <w:sz w:val="20"/>
          <w:szCs w:val="20"/>
        </w:rPr>
        <w:t xml:space="preserve"> 500-word statement of purpose</w:t>
      </w:r>
    </w:p>
    <w:p w14:paraId="0D038B51" w14:textId="756B3F2F" w:rsidR="00F34123" w:rsidRPr="00F56F59" w:rsidRDefault="00602100" w:rsidP="00ED6F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6F59">
        <w:rPr>
          <w:sz w:val="20"/>
          <w:szCs w:val="20"/>
        </w:rPr>
        <w:t>a current resum</w:t>
      </w:r>
      <w:r w:rsidR="00305548" w:rsidRPr="00F56F59">
        <w:rPr>
          <w:sz w:val="20"/>
          <w:szCs w:val="20"/>
        </w:rPr>
        <w:t>e</w:t>
      </w:r>
    </w:p>
    <w:p w14:paraId="2E63E237" w14:textId="32ED9FAD" w:rsidR="00305548" w:rsidRPr="001543B2" w:rsidRDefault="00305548" w:rsidP="00ED6F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F59">
        <w:rPr>
          <w:sz w:val="20"/>
          <w:szCs w:val="20"/>
        </w:rPr>
        <w:t>stipend request (optional</w:t>
      </w:r>
      <w:r>
        <w:rPr>
          <w:sz w:val="24"/>
          <w:szCs w:val="24"/>
        </w:rPr>
        <w:t>)</w:t>
      </w:r>
    </w:p>
    <w:sectPr w:rsidR="00305548" w:rsidRPr="001543B2" w:rsidSect="00601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num="3" w:space="360" w:equalWidth="0">
        <w:col w:w="3600" w:space="360"/>
        <w:col w:w="3600" w:space="36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9974" w14:textId="77777777" w:rsidR="00601840" w:rsidRDefault="00601840" w:rsidP="00AF50E9">
      <w:pPr>
        <w:spacing w:after="0" w:line="240" w:lineRule="auto"/>
      </w:pPr>
      <w:r>
        <w:separator/>
      </w:r>
    </w:p>
  </w:endnote>
  <w:endnote w:type="continuationSeparator" w:id="0">
    <w:p w14:paraId="587585A3" w14:textId="77777777" w:rsidR="00601840" w:rsidRDefault="00601840" w:rsidP="00AF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2801" w14:textId="77777777" w:rsidR="00E653AA" w:rsidRDefault="00E6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2A3" w14:textId="2A32A079" w:rsidR="0006246A" w:rsidRDefault="00000000">
    <w:pPr>
      <w:pStyle w:val="Footer"/>
    </w:pPr>
    <w:r>
      <w:rPr>
        <w:noProof/>
      </w:rPr>
      <w:pict w14:anchorId="3F7D1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9.75pt;margin-top:7.45pt;width:181.1pt;height:35pt;z-index:-251656704;mso-wrap-edited:f;mso-width-percent:0;mso-height-percent:0;mso-position-horizontal-relative:text;mso-position-vertical-relative:text;mso-width-percent:0;mso-height-percent:0">
          <v:imagedata r:id="rId1" o:title="LLNL-logo"/>
        </v:shape>
      </w:pict>
    </w:r>
    <w:r w:rsidR="00D7616B" w:rsidRPr="009C1FD5">
      <w:rPr>
        <w:rFonts w:cstheme="majorHAnsi"/>
        <w:b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DE54AD" wp14:editId="146345E5">
              <wp:simplePos x="0" y="0"/>
              <wp:positionH relativeFrom="page">
                <wp:posOffset>-362585</wp:posOffset>
              </wp:positionH>
              <wp:positionV relativeFrom="paragraph">
                <wp:posOffset>-105410</wp:posOffset>
              </wp:positionV>
              <wp:extent cx="8135007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5007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DCC80" id="Rectangle 9" o:spid="_x0000_s1026" style="position:absolute;margin-left:-28.55pt;margin-top:-8.3pt;width:640.55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" fillcolor="#002060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5B4" w14:textId="77777777" w:rsidR="00E653AA" w:rsidRDefault="00E6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D634" w14:textId="77777777" w:rsidR="00601840" w:rsidRDefault="00601840" w:rsidP="00AF50E9">
      <w:pPr>
        <w:spacing w:after="0" w:line="240" w:lineRule="auto"/>
      </w:pPr>
      <w:r>
        <w:separator/>
      </w:r>
    </w:p>
  </w:footnote>
  <w:footnote w:type="continuationSeparator" w:id="0">
    <w:p w14:paraId="24F5C99B" w14:textId="77777777" w:rsidR="00601840" w:rsidRDefault="00601840" w:rsidP="00AF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309C" w14:textId="77777777" w:rsidR="00E653AA" w:rsidRDefault="00E6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0712" w14:textId="77777777" w:rsidR="009C1FD5" w:rsidRPr="009C1FD5" w:rsidRDefault="00D7616B" w:rsidP="00F725CC">
    <w:pPr>
      <w:spacing w:after="0" w:line="600" w:lineRule="exact"/>
      <w:contextualSpacing/>
      <w:rPr>
        <w:rFonts w:cstheme="majorHAnsi"/>
        <w:b/>
        <w:color w:val="FFFFFF" w:themeColor="background1"/>
        <w:sz w:val="42"/>
        <w:szCs w:val="42"/>
      </w:rPr>
    </w:pPr>
    <w:r w:rsidRPr="009C1FD5">
      <w:rPr>
        <w:rFonts w:cstheme="majorHAnsi"/>
        <w:b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B41E0FC" wp14:editId="09610495">
              <wp:simplePos x="0" y="0"/>
              <wp:positionH relativeFrom="column">
                <wp:posOffset>2447925</wp:posOffset>
              </wp:positionH>
              <wp:positionV relativeFrom="paragraph">
                <wp:posOffset>-457199</wp:posOffset>
              </wp:positionV>
              <wp:extent cx="2419350" cy="93345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933450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55D7D" id="Rectangle 7" o:spid="_x0000_s1026" style="position:absolute;margin-left:192.75pt;margin-top:-36pt;width:190.5pt;height:7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" fillcolor="#fafafa" stroked="f" strokeweight="1pt"/>
          </w:pict>
        </mc:Fallback>
      </mc:AlternateContent>
    </w:r>
    <w:r w:rsidR="00721F93" w:rsidRPr="009C1FD5">
      <w:rPr>
        <w:b/>
        <w:noProof/>
        <w:sz w:val="42"/>
        <w:szCs w:val="42"/>
      </w:rPr>
      <w:drawing>
        <wp:anchor distT="0" distB="91440" distL="114300" distR="0" simplePos="0" relativeHeight="251657728" behindDoc="1" locked="0" layoutInCell="1" allowOverlap="1" wp14:anchorId="69F98438" wp14:editId="24524C1C">
          <wp:simplePos x="0" y="0"/>
          <wp:positionH relativeFrom="margin">
            <wp:posOffset>4886324</wp:posOffset>
          </wp:positionH>
          <wp:positionV relativeFrom="page">
            <wp:posOffset>47626</wp:posOffset>
          </wp:positionV>
          <wp:extent cx="2053967" cy="1498840"/>
          <wp:effectExtent l="0" t="0" r="3810" b="6350"/>
          <wp:wrapNone/>
          <wp:docPr id="6" name="Picture 6" descr="C:\Users\dsteiger\AppData\Local\Microsoft\Windows\INetCache\Content.Word\image-cl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teiger\AppData\Local\Microsoft\Windows\INetCache\Content.Word\image-cl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76" cy="151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D6B" w:rsidRPr="009C1FD5">
      <w:rPr>
        <w:rFonts w:cstheme="majorHAnsi"/>
        <w:b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3E9A01" wp14:editId="70A6C4F1">
              <wp:simplePos x="0" y="0"/>
              <wp:positionH relativeFrom="page">
                <wp:align>left</wp:align>
              </wp:positionH>
              <wp:positionV relativeFrom="paragraph">
                <wp:posOffset>-476250</wp:posOffset>
              </wp:positionV>
              <wp:extent cx="8135007" cy="1409700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5007" cy="14097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A1495" id="Rectangle 1" o:spid="_x0000_s1026" style="position:absolute;margin-left:0;margin-top:-37.5pt;width:640.55pt;height:11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" fillcolor="#002060" stroked="f" strokeweight="1pt">
              <w10:wrap anchorx="page"/>
            </v:rect>
          </w:pict>
        </mc:Fallback>
      </mc:AlternateContent>
    </w:r>
    <w:r w:rsidR="00AF50E9" w:rsidRPr="009C1FD5">
      <w:rPr>
        <w:rFonts w:cstheme="majorHAnsi"/>
        <w:b/>
        <w:color w:val="FFFFFF" w:themeColor="background1"/>
        <w:sz w:val="42"/>
        <w:szCs w:val="42"/>
      </w:rPr>
      <w:t>International Nuclear Safeguards Policy</w:t>
    </w:r>
  </w:p>
  <w:p w14:paraId="06B24311" w14:textId="77777777" w:rsidR="009C1D6B" w:rsidRDefault="009C1FD5" w:rsidP="00721F93">
    <w:pPr>
      <w:tabs>
        <w:tab w:val="left" w:pos="6480"/>
      </w:tabs>
      <w:spacing w:after="0" w:line="240" w:lineRule="auto"/>
      <w:contextualSpacing/>
      <w:rPr>
        <w:rFonts w:asciiTheme="majorHAnsi" w:hAnsiTheme="majorHAnsi" w:cstheme="majorHAnsi"/>
        <w:color w:val="FFFFFF" w:themeColor="background1"/>
        <w:sz w:val="24"/>
        <w:szCs w:val="24"/>
      </w:rPr>
    </w:pPr>
    <w:r w:rsidRPr="009C1FD5">
      <w:rPr>
        <w:rFonts w:asciiTheme="majorHAnsi" w:hAnsiTheme="majorHAnsi" w:cstheme="majorHAnsi"/>
        <w:color w:val="FFFFFF" w:themeColor="background1"/>
        <w:sz w:val="24"/>
        <w:szCs w:val="24"/>
      </w:rPr>
      <w:t>One-Week Tuition-Free Intensive Course in Monterey and</w:t>
    </w:r>
    <w:r w:rsidR="00721F93">
      <w:rPr>
        <w:rFonts w:asciiTheme="majorHAnsi" w:hAnsiTheme="majorHAnsi" w:cstheme="majorHAnsi"/>
        <w:color w:val="FFFFFF" w:themeColor="background1"/>
        <w:sz w:val="24"/>
        <w:szCs w:val="24"/>
      </w:rPr>
      <w:tab/>
    </w:r>
    <w:r w:rsidRPr="009C1FD5">
      <w:rPr>
        <w:rFonts w:asciiTheme="majorHAnsi" w:hAnsiTheme="majorHAnsi" w:cstheme="majorHAnsi"/>
        <w:color w:val="FFFFFF" w:themeColor="background1"/>
        <w:sz w:val="24"/>
        <w:szCs w:val="24"/>
      </w:rPr>
      <w:br/>
      <w:t>Paid Summer Internships at Lawrence Livermore National Lab</w:t>
    </w:r>
  </w:p>
  <w:p w14:paraId="7FC38AA9" w14:textId="77777777" w:rsidR="007548D8" w:rsidRPr="009C1FD5" w:rsidRDefault="007548D8" w:rsidP="00721F93">
    <w:pPr>
      <w:spacing w:after="240"/>
      <w:rPr>
        <w:rFonts w:asciiTheme="majorHAnsi" w:hAnsiTheme="majorHAnsi" w:cstheme="majorHAnsi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AB4E" w14:textId="77777777" w:rsidR="00E653AA" w:rsidRDefault="00E6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11E"/>
    <w:multiLevelType w:val="hybridMultilevel"/>
    <w:tmpl w:val="B65ED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9226D"/>
    <w:multiLevelType w:val="hybridMultilevel"/>
    <w:tmpl w:val="462C7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D7AD2"/>
    <w:multiLevelType w:val="hybridMultilevel"/>
    <w:tmpl w:val="3E3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4085">
    <w:abstractNumId w:val="1"/>
  </w:num>
  <w:num w:numId="2" w16cid:durableId="899906190">
    <w:abstractNumId w:val="2"/>
  </w:num>
  <w:num w:numId="3" w16cid:durableId="49958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59F652-2463-4FDF-9813-C8B1AC43CF48}"/>
    <w:docVar w:name="dgnword-eventsink" w:val="321965200"/>
  </w:docVars>
  <w:rsids>
    <w:rsidRoot w:val="00AF50E9"/>
    <w:rsid w:val="00000836"/>
    <w:rsid w:val="00007A97"/>
    <w:rsid w:val="00015D90"/>
    <w:rsid w:val="00047EA4"/>
    <w:rsid w:val="0006246A"/>
    <w:rsid w:val="000805AC"/>
    <w:rsid w:val="0009430F"/>
    <w:rsid w:val="000C5E11"/>
    <w:rsid w:val="000D69D6"/>
    <w:rsid w:val="00100637"/>
    <w:rsid w:val="00121257"/>
    <w:rsid w:val="00140AAA"/>
    <w:rsid w:val="00153EC1"/>
    <w:rsid w:val="001543B2"/>
    <w:rsid w:val="001614BE"/>
    <w:rsid w:val="00192D01"/>
    <w:rsid w:val="001B01DA"/>
    <w:rsid w:val="001B5F6A"/>
    <w:rsid w:val="0021104F"/>
    <w:rsid w:val="002621C6"/>
    <w:rsid w:val="00276C8E"/>
    <w:rsid w:val="002A7D52"/>
    <w:rsid w:val="002B2BEE"/>
    <w:rsid w:val="00305548"/>
    <w:rsid w:val="00307434"/>
    <w:rsid w:val="00315675"/>
    <w:rsid w:val="00345811"/>
    <w:rsid w:val="00360FFA"/>
    <w:rsid w:val="00371FEC"/>
    <w:rsid w:val="00382279"/>
    <w:rsid w:val="0038461B"/>
    <w:rsid w:val="003E31D1"/>
    <w:rsid w:val="00401A50"/>
    <w:rsid w:val="00410B30"/>
    <w:rsid w:val="0041297F"/>
    <w:rsid w:val="004450EC"/>
    <w:rsid w:val="00455036"/>
    <w:rsid w:val="004622D7"/>
    <w:rsid w:val="00470E6C"/>
    <w:rsid w:val="004C69A2"/>
    <w:rsid w:val="004E6095"/>
    <w:rsid w:val="00505CEE"/>
    <w:rsid w:val="0057174D"/>
    <w:rsid w:val="00576F11"/>
    <w:rsid w:val="0059570B"/>
    <w:rsid w:val="005D7FA6"/>
    <w:rsid w:val="005F25F2"/>
    <w:rsid w:val="00601840"/>
    <w:rsid w:val="00602100"/>
    <w:rsid w:val="00604856"/>
    <w:rsid w:val="00613063"/>
    <w:rsid w:val="00642DF2"/>
    <w:rsid w:val="00647F15"/>
    <w:rsid w:val="0066183C"/>
    <w:rsid w:val="00690650"/>
    <w:rsid w:val="006A2BDC"/>
    <w:rsid w:val="006A5B60"/>
    <w:rsid w:val="006B6D28"/>
    <w:rsid w:val="006D0898"/>
    <w:rsid w:val="006D27AB"/>
    <w:rsid w:val="006E35C3"/>
    <w:rsid w:val="00721F93"/>
    <w:rsid w:val="007548D8"/>
    <w:rsid w:val="007B3AE7"/>
    <w:rsid w:val="007C218C"/>
    <w:rsid w:val="007D6595"/>
    <w:rsid w:val="007D7622"/>
    <w:rsid w:val="007E3DEB"/>
    <w:rsid w:val="007E5A73"/>
    <w:rsid w:val="00837893"/>
    <w:rsid w:val="0085401C"/>
    <w:rsid w:val="008722D5"/>
    <w:rsid w:val="00891A67"/>
    <w:rsid w:val="0092334B"/>
    <w:rsid w:val="009560DE"/>
    <w:rsid w:val="00957C2A"/>
    <w:rsid w:val="00966DCC"/>
    <w:rsid w:val="00992D1D"/>
    <w:rsid w:val="009C1D6B"/>
    <w:rsid w:val="009C1FD5"/>
    <w:rsid w:val="009D6C4E"/>
    <w:rsid w:val="009D72DC"/>
    <w:rsid w:val="00A64B0E"/>
    <w:rsid w:val="00A73373"/>
    <w:rsid w:val="00AC054A"/>
    <w:rsid w:val="00AD4BC5"/>
    <w:rsid w:val="00AE47AB"/>
    <w:rsid w:val="00AF50E9"/>
    <w:rsid w:val="00B2698B"/>
    <w:rsid w:val="00B52F10"/>
    <w:rsid w:val="00B85704"/>
    <w:rsid w:val="00B858FF"/>
    <w:rsid w:val="00BA77CC"/>
    <w:rsid w:val="00BB511C"/>
    <w:rsid w:val="00C2255C"/>
    <w:rsid w:val="00C478C4"/>
    <w:rsid w:val="00CD3788"/>
    <w:rsid w:val="00CE2772"/>
    <w:rsid w:val="00D37166"/>
    <w:rsid w:val="00D43E19"/>
    <w:rsid w:val="00D46217"/>
    <w:rsid w:val="00D53000"/>
    <w:rsid w:val="00D66C49"/>
    <w:rsid w:val="00D7063F"/>
    <w:rsid w:val="00D735CA"/>
    <w:rsid w:val="00D7616B"/>
    <w:rsid w:val="00DA75DA"/>
    <w:rsid w:val="00DF0EE7"/>
    <w:rsid w:val="00DF7D51"/>
    <w:rsid w:val="00E12C78"/>
    <w:rsid w:val="00E27A14"/>
    <w:rsid w:val="00E65134"/>
    <w:rsid w:val="00E653AA"/>
    <w:rsid w:val="00E65AA9"/>
    <w:rsid w:val="00E6689C"/>
    <w:rsid w:val="00E8001A"/>
    <w:rsid w:val="00E840AC"/>
    <w:rsid w:val="00E90E1B"/>
    <w:rsid w:val="00E95FAD"/>
    <w:rsid w:val="00ED6F6E"/>
    <w:rsid w:val="00F168D9"/>
    <w:rsid w:val="00F27C82"/>
    <w:rsid w:val="00F34123"/>
    <w:rsid w:val="00F46E86"/>
    <w:rsid w:val="00F53802"/>
    <w:rsid w:val="00F5401D"/>
    <w:rsid w:val="00F56F59"/>
    <w:rsid w:val="00F725CC"/>
    <w:rsid w:val="00FA7B63"/>
    <w:rsid w:val="00FC0575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3240F"/>
  <w15:chartTrackingRefBased/>
  <w15:docId w15:val="{1454E0A0-64C9-440E-AD0D-B1AB534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9"/>
  </w:style>
  <w:style w:type="paragraph" w:styleId="Footer">
    <w:name w:val="footer"/>
    <w:basedOn w:val="Normal"/>
    <w:link w:val="FooterChar"/>
    <w:uiPriority w:val="99"/>
    <w:unhideWhenUsed/>
    <w:rsid w:val="00AF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9"/>
  </w:style>
  <w:style w:type="character" w:styleId="Hyperlink">
    <w:name w:val="Hyperlink"/>
    <w:basedOn w:val="DefaultParagraphFont"/>
    <w:uiPriority w:val="99"/>
    <w:unhideWhenUsed/>
    <w:rsid w:val="002A7D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2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8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D65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5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oore@middlebury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moore@middlebu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Q70920tMREWfigVT-fXyXtx8BmOCHeFLhNrIv_qRHxlUQVoyN0NBOFREMUJZSFA5WjZZWkpaUEhBMi4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Steiger, David</dc:creator>
  <cp:keywords/>
  <dc:description/>
  <cp:lastModifiedBy>Steiger, Anne-Marie</cp:lastModifiedBy>
  <cp:revision>2</cp:revision>
  <dcterms:created xsi:type="dcterms:W3CDTF">2024-01-19T18:45:00Z</dcterms:created>
  <dcterms:modified xsi:type="dcterms:W3CDTF">2024-01-19T18:45:00Z</dcterms:modified>
</cp:coreProperties>
</file>